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583" w:rsidRDefault="00436583" w:rsidP="00436583">
      <w:pPr>
        <w:pStyle w:val="Heading5"/>
        <w:tabs>
          <w:tab w:val="left" w:pos="820"/>
        </w:tabs>
      </w:pPr>
      <w:r>
        <w:t>104:</w:t>
      </w:r>
      <w:r>
        <w:tab/>
        <w:t>Whistleblower</w:t>
      </w:r>
      <w:r>
        <w:rPr>
          <w:spacing w:val="-2"/>
        </w:rPr>
        <w:t xml:space="preserve"> </w:t>
      </w:r>
      <w:r>
        <w:t>Protection</w:t>
      </w:r>
      <w:r w:rsidR="00790585">
        <w:t xml:space="preserve"> – Approved by the Board 12/22/2021</w:t>
      </w:r>
      <w:bookmarkStart w:id="0" w:name="_GoBack"/>
      <w:bookmarkEnd w:id="0"/>
    </w:p>
    <w:p w:rsidR="00436583" w:rsidRDefault="00436583" w:rsidP="00436583">
      <w:pPr>
        <w:pStyle w:val="BodyText"/>
        <w:spacing w:before="7"/>
        <w:rPr>
          <w:b/>
          <w:sz w:val="23"/>
        </w:rPr>
      </w:pPr>
    </w:p>
    <w:p w:rsidR="00436583" w:rsidRDefault="00436583" w:rsidP="00436583">
      <w:pPr>
        <w:pStyle w:val="BodyText"/>
        <w:ind w:left="1756"/>
      </w:pPr>
      <w:r>
        <w:rPr>
          <w:u w:val="single"/>
        </w:rPr>
        <w:t>EMPLOYEE PROTECTION (WHISTLEBLOWER) POLICY</w:t>
      </w:r>
    </w:p>
    <w:p w:rsidR="00436583" w:rsidRDefault="00436583" w:rsidP="00436583">
      <w:pPr>
        <w:pStyle w:val="BodyText"/>
        <w:spacing w:before="2"/>
        <w:rPr>
          <w:sz w:val="16"/>
        </w:rPr>
      </w:pPr>
    </w:p>
    <w:p w:rsidR="00B678EF" w:rsidRPr="00B678EF" w:rsidRDefault="00436583" w:rsidP="00B678EF">
      <w:pPr>
        <w:pStyle w:val="BodyText"/>
        <w:spacing w:before="72"/>
        <w:ind w:left="100" w:right="1076"/>
      </w:pPr>
      <w:r>
        <w:t>It is the intent of GOBC to adhere to all laws and regulations that apply to the organization, and the underlying purpose of this policy is to support the organization’s goal of legal compliance. The support of all employees is necessary to achieving compliance with various laws and regulations. If any employee reasonably believes that some policy, practice, or activity of GOBC is in bona-fide violation of law, a written complaint must be filed by that employee with the CEO. An employee shall be protected from retaliation only if the employee brings the alleged bona-fide unlawful activity, policy, or practice to the attention of GOBC,</w:t>
      </w:r>
      <w:r w:rsidR="00B678EF">
        <w:t xml:space="preserve"> </w:t>
      </w:r>
      <w:r>
        <w:t>and provides GOBC with a reasonable opportunity to investigate and correct the alleged unlawful activity. The protection described below is only available to employees that comply with this requirement.</w:t>
      </w:r>
      <w:r w:rsidR="00B678EF">
        <w:t xml:space="preserve"> Beginning </w:t>
      </w:r>
      <w:r w:rsidR="00B678EF" w:rsidRPr="00B678EF">
        <w:t>January 2022, employees and independent contractors will be protected for reporting employer activity that they reasonably believe violates </w:t>
      </w:r>
      <w:r w:rsidR="00B678EF" w:rsidRPr="00B678EF">
        <w:rPr>
          <w:i/>
          <w:iCs/>
        </w:rPr>
        <w:t>any </w:t>
      </w:r>
      <w:r w:rsidR="00B678EF" w:rsidRPr="00B678EF">
        <w:t>law, regardless of whether the law relates to public safety or whether the activity was an actual violation. </w:t>
      </w:r>
    </w:p>
    <w:p w:rsidR="00436583" w:rsidRDefault="00436583" w:rsidP="00436583">
      <w:pPr>
        <w:pStyle w:val="BodyText"/>
      </w:pPr>
    </w:p>
    <w:p w:rsidR="00436583" w:rsidRDefault="00436583" w:rsidP="00436583">
      <w:pPr>
        <w:pStyle w:val="BodyText"/>
        <w:ind w:left="100" w:right="828"/>
      </w:pPr>
      <w:r>
        <w:t>GOBC will not retaliate against an employee</w:t>
      </w:r>
      <w:r w:rsidR="00B678EF">
        <w:t>, former employee</w:t>
      </w:r>
      <w:r w:rsidR="000D26B6">
        <w:t xml:space="preserve"> and/or independent contractor</w:t>
      </w:r>
      <w:r>
        <w:t xml:space="preserve"> who, in good faith, has made a protest or raised a complaint against some policy, practice or activity of GOBC, or of another individual or entity with whom the corporation has a business relationship, on the basis of a bona-fide reasonable belief that the practice is in violation of law, or a clear mandate of public policy.</w:t>
      </w:r>
    </w:p>
    <w:p w:rsidR="00436583" w:rsidRDefault="00436583" w:rsidP="00436583">
      <w:pPr>
        <w:pStyle w:val="BodyText"/>
      </w:pPr>
    </w:p>
    <w:p w:rsidR="00436583" w:rsidRDefault="00436583" w:rsidP="00436583">
      <w:pPr>
        <w:pStyle w:val="BodyText"/>
        <w:ind w:left="100" w:right="1022"/>
      </w:pPr>
      <w:r>
        <w:t xml:space="preserve">GOBC will not retaliate against </w:t>
      </w:r>
      <w:r w:rsidR="000D26B6">
        <w:t>employee, former employee and/or independent contractor</w:t>
      </w:r>
      <w:r>
        <w:t xml:space="preserve"> who disclose to a supervisor and a public enforcement body any activity, policy, or practice of GOBC that the employee reasonably believes is a bona-fide violation of a law, or a rule, or regulation mandated pursuant to law or is in violation of a clear mandate or public policy concerning the health, safety, welfare, or protection of the environment.</w:t>
      </w:r>
      <w:r w:rsidR="0089009D">
        <w:t xml:space="preserve"> E</w:t>
      </w:r>
      <w:r w:rsidR="0089009D" w:rsidRPr="0089009D">
        <w:t>mployers may not take action that would harm a former employee’s current or future employment, such as “blackballing” within an industry; or report or threaten to report the immigration status of the employee or the employee’s family member. </w:t>
      </w:r>
    </w:p>
    <w:p w:rsidR="00436583" w:rsidRDefault="00436583" w:rsidP="00436583">
      <w:pPr>
        <w:pStyle w:val="BodyText"/>
        <w:spacing w:before="1"/>
      </w:pPr>
    </w:p>
    <w:p w:rsidR="00436583" w:rsidRDefault="00436583" w:rsidP="00436583">
      <w:pPr>
        <w:pStyle w:val="BodyText"/>
        <w:ind w:left="100" w:right="895"/>
      </w:pPr>
      <w:r>
        <w:t xml:space="preserve">Notwithstanding the above, it is the clear preference of GOBC that an </w:t>
      </w:r>
      <w:r w:rsidR="000D26B6">
        <w:t>employee, former employee and/or independent contractor</w:t>
      </w:r>
      <w:r>
        <w:t xml:space="preserve"> who believes that some policy, practice or activity of GOBC is in violation of the law attempt to resolve the concern internally with GOBC prior to disclosing his/her allegations to, or raising or filing any complaints with any external public body or official.</w:t>
      </w:r>
      <w:r w:rsidR="005E7742">
        <w:t xml:space="preserve"> U</w:t>
      </w:r>
      <w:r w:rsidR="005E7742" w:rsidRPr="005E7742">
        <w:t>nder the existing law, employees must first notify their employer of the alleged violation before reporting it to a public body. Under the revised law, an employee will only have to make a “good faith effort” to notify the employer, and that’s only if no exception applies. The employee will </w:t>
      </w:r>
      <w:r w:rsidR="005E7742" w:rsidRPr="005E7742">
        <w:rPr>
          <w:u w:val="single"/>
        </w:rPr>
        <w:t>not</w:t>
      </w:r>
      <w:r w:rsidR="005E7742" w:rsidRPr="005E7742">
        <w:t xml:space="preserve"> have to make a good faith effort to notify the employer if the employee reasonably believes that there is: imminent danger to public safety; if the employee reasonably suspects that the employer will destroy evidence; if the employee reasonably believes physical harm would result; or if the employee reasonably </w:t>
      </w:r>
      <w:r w:rsidR="005E7742" w:rsidRPr="005E7742">
        <w:lastRenderedPageBreak/>
        <w:t>believes the employer is already aware of the activity and will not correct it. </w:t>
      </w:r>
    </w:p>
    <w:p w:rsidR="00436583" w:rsidRDefault="00436583" w:rsidP="00436583">
      <w:pPr>
        <w:pStyle w:val="BodyText"/>
      </w:pPr>
    </w:p>
    <w:p w:rsidR="00436583" w:rsidRDefault="00436583" w:rsidP="00436583">
      <w:pPr>
        <w:pStyle w:val="BodyText"/>
        <w:ind w:left="100" w:right="1035"/>
      </w:pPr>
      <w:r>
        <w:t xml:space="preserve">Notwithstanding the above, no concerned </w:t>
      </w:r>
      <w:r w:rsidR="000D26B6">
        <w:t>employee, former employee and/or independent contractor</w:t>
      </w:r>
      <w:r>
        <w:t>, or whistleblower, should expect protection under this policy if he/she knowingly initiates, facilitates, supports, conceals, or is otherwise complicit in, the illegal policy, practice or activity that is the subject of his/her disclosure, protest or complaint, unless his/her complicity is, itself, prompted by duress or is motivated by reasonable fear of some form of retaliation.</w:t>
      </w:r>
    </w:p>
    <w:p w:rsidR="00436583" w:rsidRDefault="00436583" w:rsidP="00436583">
      <w:pPr>
        <w:pStyle w:val="BodyText"/>
        <w:spacing w:before="1"/>
      </w:pPr>
    </w:p>
    <w:p w:rsidR="00436583" w:rsidRDefault="00436583" w:rsidP="00436583">
      <w:pPr>
        <w:pStyle w:val="BodyText"/>
        <w:ind w:left="100" w:right="998"/>
        <w:jc w:val="both"/>
      </w:pPr>
      <w:r>
        <w:t xml:space="preserve">This policy does not protect any </w:t>
      </w:r>
      <w:r w:rsidR="000D26B6">
        <w:t>employee, former employee and/or independent contractor</w:t>
      </w:r>
      <w:r>
        <w:t xml:space="preserve"> acting in bad faith or under a mere</w:t>
      </w:r>
      <w:r>
        <w:rPr>
          <w:spacing w:val="-18"/>
        </w:rPr>
        <w:t xml:space="preserve"> </w:t>
      </w:r>
      <w:r>
        <w:t>suspicion; who is deliberately dishonest; or, has personally garnered financial profit, or some other advantage, to which he/she is not legally</w:t>
      </w:r>
      <w:r>
        <w:rPr>
          <w:spacing w:val="-7"/>
        </w:rPr>
        <w:t xml:space="preserve"> </w:t>
      </w:r>
      <w:r>
        <w:t>entitled.</w:t>
      </w:r>
      <w:r w:rsidR="005E7742">
        <w:t xml:space="preserve"> </w:t>
      </w:r>
    </w:p>
    <w:p w:rsidR="00436583" w:rsidRDefault="00436583" w:rsidP="00436583">
      <w:pPr>
        <w:pStyle w:val="BodyText"/>
      </w:pPr>
    </w:p>
    <w:p w:rsidR="00436583" w:rsidRDefault="00436583" w:rsidP="00436583">
      <w:pPr>
        <w:pStyle w:val="BodyText"/>
        <w:ind w:left="100" w:right="861"/>
      </w:pPr>
      <w:r>
        <w:t xml:space="preserve">As such, a concerned </w:t>
      </w:r>
      <w:r w:rsidR="000D26B6">
        <w:t>employee, former employee and/or independent contractor</w:t>
      </w:r>
      <w:r>
        <w:t>, or whistleblower, disclosing, protesting or complaining about an allegedly illegal policy, practice or activity, or another employee that is complicit in any such policy, practice or activity, should have no expectation of protection under this policy if his/her actions in raising his/her concerns are in bad faith, mere suspicion, deliberately dishonest, or intended to garner financial profit, or some other advantage, to which he/she is not legally entitled.</w:t>
      </w:r>
      <w:r w:rsidR="005E7742">
        <w:t xml:space="preserve"> E</w:t>
      </w:r>
      <w:r w:rsidR="005E7742" w:rsidRPr="005E7742">
        <w:t>mployees will be protected if they disclose or threaten to disclose to a supervisor or public body an activity, policy or practice that the employee</w:t>
      </w:r>
      <w:r w:rsidR="005E7742" w:rsidRPr="005E7742">
        <w:rPr>
          <w:i/>
          <w:iCs/>
        </w:rPr>
        <w:t> reasonably believes</w:t>
      </w:r>
      <w:r w:rsidR="005E7742" w:rsidRPr="005E7742">
        <w:t> (1) violates a law, rule or regulation; </w:t>
      </w:r>
      <w:r w:rsidR="005E7742" w:rsidRPr="005E7742">
        <w:rPr>
          <w:b/>
          <w:bCs/>
          <w:i/>
          <w:iCs/>
          <w:u w:val="single"/>
        </w:rPr>
        <w:t>or</w:t>
      </w:r>
      <w:r w:rsidR="005E7742" w:rsidRPr="005E7742">
        <w:rPr>
          <w:b/>
          <w:bCs/>
          <w:i/>
          <w:iCs/>
        </w:rPr>
        <w:t> </w:t>
      </w:r>
      <w:r w:rsidR="005E7742" w:rsidRPr="005E7742">
        <w:t>(2) poses a substantial and specific danger to public health and safety. In the case of the former, the employee will not have to establish that the employer actually violated a law; the employee’s reasonable belief is enough. Employees will also be protected for disclosing an employer activity that presents a danger to public safety, even if that activity is not unlawful. </w:t>
      </w:r>
    </w:p>
    <w:p w:rsidR="00436583" w:rsidRDefault="00436583" w:rsidP="00436583">
      <w:pPr>
        <w:pStyle w:val="BodyText"/>
      </w:pPr>
    </w:p>
    <w:p w:rsidR="00436583" w:rsidRDefault="00436583" w:rsidP="00436583">
      <w:pPr>
        <w:pStyle w:val="BodyText"/>
        <w:spacing w:before="1"/>
        <w:ind w:left="100" w:right="1023"/>
      </w:pPr>
      <w:r>
        <w:t xml:space="preserve">For the purposes of this policy, bona-fide shall mean, in addition to its vernacular definition, that the </w:t>
      </w:r>
      <w:r w:rsidR="0089009D">
        <w:t>employee, former employee and/or independent contractor</w:t>
      </w:r>
      <w:r>
        <w:t xml:space="preserve"> has some actual evidence rather than a mere suspicion that the policy, practice or activity is an actual violation of a law or a regulation of a public enforcement body.</w:t>
      </w:r>
      <w:r w:rsidR="005E7742">
        <w:t xml:space="preserve"> </w:t>
      </w:r>
    </w:p>
    <w:p w:rsidR="00436583" w:rsidRDefault="00436583" w:rsidP="00436583"/>
    <w:p w:rsidR="00436583" w:rsidRDefault="00436583" w:rsidP="00436583">
      <w:pPr>
        <w:pStyle w:val="BodyText"/>
        <w:spacing w:before="72"/>
        <w:ind w:left="100" w:right="482"/>
      </w:pPr>
      <w:r>
        <w:t>It is the responsibility of all directors, officers and employees to comply with all laws and regulations that apply to GOBC and to report violations or suspected violations in accordance with the Whistleblower Policy. Under this policy, it is a disciplinary issue for an employee to know of ethical misconduct and stay silent.</w:t>
      </w:r>
    </w:p>
    <w:p w:rsidR="00436583" w:rsidRDefault="00436583" w:rsidP="00436583">
      <w:pPr>
        <w:pStyle w:val="BodyText"/>
      </w:pPr>
    </w:p>
    <w:p w:rsidR="00436583" w:rsidRDefault="00436583" w:rsidP="00436583">
      <w:pPr>
        <w:pStyle w:val="BodyText"/>
        <w:ind w:left="100" w:right="874"/>
      </w:pPr>
      <w:r>
        <w:t>Although it is impossible to describe all conduct that is addressed, this policy specifically requires the following:</w:t>
      </w:r>
    </w:p>
    <w:p w:rsidR="00436583" w:rsidRDefault="00436583" w:rsidP="00436583">
      <w:pPr>
        <w:pStyle w:val="BodyText"/>
      </w:pPr>
    </w:p>
    <w:p w:rsidR="00436583" w:rsidRDefault="00436583" w:rsidP="00436583">
      <w:pPr>
        <w:pStyle w:val="ListParagraph"/>
        <w:numPr>
          <w:ilvl w:val="0"/>
          <w:numId w:val="1"/>
        </w:numPr>
        <w:tabs>
          <w:tab w:val="left" w:pos="821"/>
        </w:tabs>
        <w:ind w:right="322"/>
        <w:rPr>
          <w:sz w:val="24"/>
        </w:rPr>
      </w:pPr>
      <w:r>
        <w:rPr>
          <w:sz w:val="24"/>
        </w:rPr>
        <w:t>Dedication to GOBC’s mission, vision, and core values and recognition the chief</w:t>
      </w:r>
      <w:r>
        <w:rPr>
          <w:spacing w:val="-22"/>
          <w:sz w:val="24"/>
        </w:rPr>
        <w:t xml:space="preserve"> </w:t>
      </w:r>
      <w:r>
        <w:rPr>
          <w:sz w:val="24"/>
        </w:rPr>
        <w:t>function of GOBC at all times is to serve the best interests of our</w:t>
      </w:r>
      <w:r>
        <w:rPr>
          <w:spacing w:val="-7"/>
          <w:sz w:val="24"/>
        </w:rPr>
        <w:t xml:space="preserve"> </w:t>
      </w:r>
      <w:r>
        <w:rPr>
          <w:sz w:val="24"/>
        </w:rPr>
        <w:t>constituency.</w:t>
      </w:r>
    </w:p>
    <w:p w:rsidR="00436583" w:rsidRDefault="00436583" w:rsidP="00436583">
      <w:pPr>
        <w:pStyle w:val="ListParagraph"/>
        <w:numPr>
          <w:ilvl w:val="0"/>
          <w:numId w:val="1"/>
        </w:numPr>
        <w:tabs>
          <w:tab w:val="left" w:pos="821"/>
        </w:tabs>
        <w:rPr>
          <w:sz w:val="24"/>
        </w:rPr>
      </w:pPr>
      <w:r>
        <w:rPr>
          <w:sz w:val="24"/>
        </w:rPr>
        <w:t>The responsible and prudent management of GOBC’s funds and</w:t>
      </w:r>
      <w:r>
        <w:rPr>
          <w:spacing w:val="-5"/>
          <w:sz w:val="24"/>
        </w:rPr>
        <w:t xml:space="preserve"> </w:t>
      </w:r>
      <w:r>
        <w:rPr>
          <w:sz w:val="24"/>
        </w:rPr>
        <w:t>assets.</w:t>
      </w:r>
    </w:p>
    <w:p w:rsidR="00436583" w:rsidRDefault="00436583" w:rsidP="00436583">
      <w:pPr>
        <w:pStyle w:val="ListParagraph"/>
        <w:numPr>
          <w:ilvl w:val="0"/>
          <w:numId w:val="1"/>
        </w:numPr>
        <w:tabs>
          <w:tab w:val="left" w:pos="821"/>
        </w:tabs>
        <w:ind w:right="251"/>
        <w:rPr>
          <w:sz w:val="24"/>
        </w:rPr>
      </w:pPr>
      <w:r>
        <w:rPr>
          <w:sz w:val="24"/>
        </w:rPr>
        <w:t>Honest and ethical conduct, including the ethical handling of actual or apparent</w:t>
      </w:r>
      <w:r>
        <w:rPr>
          <w:spacing w:val="-17"/>
          <w:sz w:val="24"/>
        </w:rPr>
        <w:t xml:space="preserve"> </w:t>
      </w:r>
      <w:r>
        <w:rPr>
          <w:sz w:val="24"/>
        </w:rPr>
        <w:t>conflicts of interest between personal and professional</w:t>
      </w:r>
      <w:r>
        <w:rPr>
          <w:spacing w:val="-2"/>
          <w:sz w:val="24"/>
        </w:rPr>
        <w:t xml:space="preserve"> </w:t>
      </w:r>
      <w:r>
        <w:rPr>
          <w:sz w:val="24"/>
        </w:rPr>
        <w:t>relationships.</w:t>
      </w:r>
    </w:p>
    <w:p w:rsidR="00436583" w:rsidRDefault="00436583" w:rsidP="00436583">
      <w:pPr>
        <w:pStyle w:val="ListParagraph"/>
        <w:numPr>
          <w:ilvl w:val="0"/>
          <w:numId w:val="1"/>
        </w:numPr>
        <w:tabs>
          <w:tab w:val="left" w:pos="821"/>
        </w:tabs>
        <w:spacing w:before="1"/>
        <w:rPr>
          <w:sz w:val="24"/>
        </w:rPr>
      </w:pPr>
      <w:r>
        <w:rPr>
          <w:sz w:val="24"/>
        </w:rPr>
        <w:lastRenderedPageBreak/>
        <w:t>Compliance with all applicable governmental laws, rules and</w:t>
      </w:r>
      <w:r>
        <w:rPr>
          <w:spacing w:val="-3"/>
          <w:sz w:val="24"/>
        </w:rPr>
        <w:t xml:space="preserve"> </w:t>
      </w:r>
      <w:r>
        <w:rPr>
          <w:sz w:val="24"/>
        </w:rPr>
        <w:t>regulations.</w:t>
      </w:r>
    </w:p>
    <w:p w:rsidR="00436583" w:rsidRDefault="00436583" w:rsidP="00436583">
      <w:pPr>
        <w:pStyle w:val="ListParagraph"/>
        <w:numPr>
          <w:ilvl w:val="0"/>
          <w:numId w:val="1"/>
        </w:numPr>
        <w:tabs>
          <w:tab w:val="left" w:pos="821"/>
        </w:tabs>
        <w:ind w:right="523"/>
        <w:rPr>
          <w:sz w:val="24"/>
        </w:rPr>
      </w:pPr>
      <w:r>
        <w:rPr>
          <w:sz w:val="24"/>
        </w:rPr>
        <w:t>Treatment of all persons with respect, equity, and fairness regardless of race,</w:t>
      </w:r>
      <w:r>
        <w:rPr>
          <w:spacing w:val="-14"/>
          <w:sz w:val="24"/>
        </w:rPr>
        <w:t xml:space="preserve"> </w:t>
      </w:r>
      <w:r>
        <w:rPr>
          <w:sz w:val="24"/>
        </w:rPr>
        <w:t>religion, gender, ability, age or national</w:t>
      </w:r>
      <w:r>
        <w:rPr>
          <w:spacing w:val="-2"/>
          <w:sz w:val="24"/>
        </w:rPr>
        <w:t xml:space="preserve"> </w:t>
      </w:r>
      <w:r>
        <w:rPr>
          <w:sz w:val="24"/>
        </w:rPr>
        <w:t>origin.</w:t>
      </w:r>
    </w:p>
    <w:p w:rsidR="00436583" w:rsidRDefault="00436583" w:rsidP="00436583">
      <w:pPr>
        <w:pStyle w:val="ListParagraph"/>
        <w:numPr>
          <w:ilvl w:val="0"/>
          <w:numId w:val="1"/>
        </w:numPr>
        <w:tabs>
          <w:tab w:val="left" w:pos="821"/>
        </w:tabs>
        <w:ind w:right="450"/>
        <w:rPr>
          <w:sz w:val="24"/>
        </w:rPr>
      </w:pPr>
      <w:r>
        <w:rPr>
          <w:sz w:val="24"/>
        </w:rPr>
        <w:t>Respect and protection of confidential and/or privileged information to which we</w:t>
      </w:r>
      <w:r>
        <w:rPr>
          <w:spacing w:val="-15"/>
          <w:sz w:val="24"/>
        </w:rPr>
        <w:t xml:space="preserve"> </w:t>
      </w:r>
      <w:r>
        <w:rPr>
          <w:sz w:val="24"/>
        </w:rPr>
        <w:t>have access in the course of our</w:t>
      </w:r>
      <w:r>
        <w:rPr>
          <w:spacing w:val="-4"/>
          <w:sz w:val="24"/>
        </w:rPr>
        <w:t xml:space="preserve"> </w:t>
      </w:r>
      <w:r>
        <w:rPr>
          <w:sz w:val="24"/>
        </w:rPr>
        <w:t>duties.</w:t>
      </w:r>
    </w:p>
    <w:p w:rsidR="00436583" w:rsidRDefault="00436583" w:rsidP="00436583">
      <w:pPr>
        <w:pStyle w:val="ListParagraph"/>
        <w:numPr>
          <w:ilvl w:val="0"/>
          <w:numId w:val="1"/>
        </w:numPr>
        <w:tabs>
          <w:tab w:val="left" w:pos="821"/>
        </w:tabs>
        <w:ind w:right="371"/>
        <w:rPr>
          <w:sz w:val="24"/>
        </w:rPr>
      </w:pPr>
      <w:r>
        <w:rPr>
          <w:sz w:val="24"/>
        </w:rPr>
        <w:t>Prompt internal reporting of Code violations to an appropriate person or persons within the</w:t>
      </w:r>
      <w:r>
        <w:rPr>
          <w:spacing w:val="-1"/>
          <w:sz w:val="24"/>
        </w:rPr>
        <w:t xml:space="preserve"> </w:t>
      </w:r>
      <w:r>
        <w:rPr>
          <w:sz w:val="24"/>
        </w:rPr>
        <w:t>organization.</w:t>
      </w:r>
    </w:p>
    <w:p w:rsidR="00436583" w:rsidRDefault="00436583" w:rsidP="00436583">
      <w:pPr>
        <w:pStyle w:val="ListParagraph"/>
        <w:numPr>
          <w:ilvl w:val="0"/>
          <w:numId w:val="1"/>
        </w:numPr>
        <w:tabs>
          <w:tab w:val="left" w:pos="821"/>
        </w:tabs>
        <w:rPr>
          <w:sz w:val="24"/>
        </w:rPr>
      </w:pPr>
      <w:r>
        <w:rPr>
          <w:sz w:val="24"/>
        </w:rPr>
        <w:t>Personal accountability for adherence to this Code of</w:t>
      </w:r>
      <w:r>
        <w:rPr>
          <w:spacing w:val="-9"/>
          <w:sz w:val="24"/>
        </w:rPr>
        <w:t xml:space="preserve"> </w:t>
      </w:r>
      <w:r>
        <w:rPr>
          <w:sz w:val="24"/>
        </w:rPr>
        <w:t>Conduct.</w:t>
      </w:r>
    </w:p>
    <w:p w:rsidR="00436583" w:rsidRDefault="00436583" w:rsidP="00436583">
      <w:pPr>
        <w:pStyle w:val="BodyText"/>
      </w:pPr>
    </w:p>
    <w:p w:rsidR="00436583" w:rsidRDefault="00436583" w:rsidP="00436583">
      <w:pPr>
        <w:pStyle w:val="BodyText"/>
        <w:ind w:left="100" w:right="456"/>
      </w:pPr>
      <w:r>
        <w:t>The person receiving this type of information should make a written record of all such reports and perform or facilitate an investigation of all credible allegations.</w:t>
      </w:r>
    </w:p>
    <w:p w:rsidR="00436583" w:rsidRDefault="00436583" w:rsidP="00436583">
      <w:pPr>
        <w:pStyle w:val="BodyText"/>
      </w:pPr>
    </w:p>
    <w:p w:rsidR="00436583" w:rsidRDefault="00436583" w:rsidP="00436583">
      <w:pPr>
        <w:pStyle w:val="BodyText"/>
        <w:ind w:left="100" w:right="208"/>
      </w:pPr>
      <w:r>
        <w:t>At all times, the privacy and reputation of individuals involved will be respected. There will be no punishment or retaliation for reporting circumstances described in this policy.</w:t>
      </w:r>
    </w:p>
    <w:p w:rsidR="00433CD5" w:rsidRDefault="00790585"/>
    <w:sectPr w:rsidR="00433C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7B316F"/>
    <w:multiLevelType w:val="hybridMultilevel"/>
    <w:tmpl w:val="68FE390A"/>
    <w:lvl w:ilvl="0" w:tplc="AD84331E">
      <w:start w:val="1"/>
      <w:numFmt w:val="decimal"/>
      <w:lvlText w:val="%1."/>
      <w:lvlJc w:val="left"/>
      <w:pPr>
        <w:ind w:left="820" w:hanging="360"/>
      </w:pPr>
      <w:rPr>
        <w:rFonts w:ascii="Times New Roman" w:eastAsia="Times New Roman" w:hAnsi="Times New Roman" w:cs="Times New Roman" w:hint="default"/>
        <w:spacing w:val="-5"/>
        <w:w w:val="99"/>
        <w:sz w:val="24"/>
        <w:szCs w:val="24"/>
        <w:lang w:val="en-US" w:eastAsia="en-US" w:bidi="en-US"/>
      </w:rPr>
    </w:lvl>
    <w:lvl w:ilvl="1" w:tplc="91109B08">
      <w:numFmt w:val="bullet"/>
      <w:lvlText w:val="•"/>
      <w:lvlJc w:val="left"/>
      <w:pPr>
        <w:ind w:left="1696" w:hanging="360"/>
      </w:pPr>
      <w:rPr>
        <w:rFonts w:hint="default"/>
        <w:lang w:val="en-US" w:eastAsia="en-US" w:bidi="en-US"/>
      </w:rPr>
    </w:lvl>
    <w:lvl w:ilvl="2" w:tplc="182CC09A">
      <w:numFmt w:val="bullet"/>
      <w:lvlText w:val="•"/>
      <w:lvlJc w:val="left"/>
      <w:pPr>
        <w:ind w:left="2572" w:hanging="360"/>
      </w:pPr>
      <w:rPr>
        <w:rFonts w:hint="default"/>
        <w:lang w:val="en-US" w:eastAsia="en-US" w:bidi="en-US"/>
      </w:rPr>
    </w:lvl>
    <w:lvl w:ilvl="3" w:tplc="4EB83ACC">
      <w:numFmt w:val="bullet"/>
      <w:lvlText w:val="•"/>
      <w:lvlJc w:val="left"/>
      <w:pPr>
        <w:ind w:left="3448" w:hanging="360"/>
      </w:pPr>
      <w:rPr>
        <w:rFonts w:hint="default"/>
        <w:lang w:val="en-US" w:eastAsia="en-US" w:bidi="en-US"/>
      </w:rPr>
    </w:lvl>
    <w:lvl w:ilvl="4" w:tplc="2F8EA560">
      <w:numFmt w:val="bullet"/>
      <w:lvlText w:val="•"/>
      <w:lvlJc w:val="left"/>
      <w:pPr>
        <w:ind w:left="4324" w:hanging="360"/>
      </w:pPr>
      <w:rPr>
        <w:rFonts w:hint="default"/>
        <w:lang w:val="en-US" w:eastAsia="en-US" w:bidi="en-US"/>
      </w:rPr>
    </w:lvl>
    <w:lvl w:ilvl="5" w:tplc="C37ABF92">
      <w:numFmt w:val="bullet"/>
      <w:lvlText w:val="•"/>
      <w:lvlJc w:val="left"/>
      <w:pPr>
        <w:ind w:left="5200" w:hanging="360"/>
      </w:pPr>
      <w:rPr>
        <w:rFonts w:hint="default"/>
        <w:lang w:val="en-US" w:eastAsia="en-US" w:bidi="en-US"/>
      </w:rPr>
    </w:lvl>
    <w:lvl w:ilvl="6" w:tplc="C8BA0A20">
      <w:numFmt w:val="bullet"/>
      <w:lvlText w:val="•"/>
      <w:lvlJc w:val="left"/>
      <w:pPr>
        <w:ind w:left="6076" w:hanging="360"/>
      </w:pPr>
      <w:rPr>
        <w:rFonts w:hint="default"/>
        <w:lang w:val="en-US" w:eastAsia="en-US" w:bidi="en-US"/>
      </w:rPr>
    </w:lvl>
    <w:lvl w:ilvl="7" w:tplc="EEFCD5A6">
      <w:numFmt w:val="bullet"/>
      <w:lvlText w:val="•"/>
      <w:lvlJc w:val="left"/>
      <w:pPr>
        <w:ind w:left="6952" w:hanging="360"/>
      </w:pPr>
      <w:rPr>
        <w:rFonts w:hint="default"/>
        <w:lang w:val="en-US" w:eastAsia="en-US" w:bidi="en-US"/>
      </w:rPr>
    </w:lvl>
    <w:lvl w:ilvl="8" w:tplc="E522E32C">
      <w:numFmt w:val="bullet"/>
      <w:lvlText w:val="•"/>
      <w:lvlJc w:val="left"/>
      <w:pPr>
        <w:ind w:left="7828"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583"/>
    <w:rsid w:val="00054569"/>
    <w:rsid w:val="000D26B6"/>
    <w:rsid w:val="00436583"/>
    <w:rsid w:val="0058217B"/>
    <w:rsid w:val="005E7742"/>
    <w:rsid w:val="007515B3"/>
    <w:rsid w:val="00790585"/>
    <w:rsid w:val="0089009D"/>
    <w:rsid w:val="00895949"/>
    <w:rsid w:val="00B678EF"/>
    <w:rsid w:val="00E62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A2DB0"/>
  <w15:chartTrackingRefBased/>
  <w15:docId w15:val="{6331FD36-A681-47AA-B6EA-F65C9160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36583"/>
    <w:pPr>
      <w:widowControl w:val="0"/>
      <w:autoSpaceDE w:val="0"/>
      <w:autoSpaceDN w:val="0"/>
      <w:spacing w:after="0" w:line="240" w:lineRule="auto"/>
    </w:pPr>
    <w:rPr>
      <w:rFonts w:ascii="Times New Roman" w:eastAsia="Times New Roman" w:hAnsi="Times New Roman" w:cs="Times New Roman"/>
      <w:lang w:bidi="en-US"/>
    </w:rPr>
  </w:style>
  <w:style w:type="paragraph" w:styleId="Heading5">
    <w:name w:val="heading 5"/>
    <w:basedOn w:val="Normal"/>
    <w:link w:val="Heading5Char"/>
    <w:uiPriority w:val="1"/>
    <w:qFormat/>
    <w:rsid w:val="00436583"/>
    <w:pPr>
      <w:ind w:left="100"/>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1"/>
    <w:rsid w:val="00436583"/>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436583"/>
    <w:rPr>
      <w:sz w:val="24"/>
      <w:szCs w:val="24"/>
    </w:rPr>
  </w:style>
  <w:style w:type="character" w:customStyle="1" w:styleId="BodyTextChar">
    <w:name w:val="Body Text Char"/>
    <w:basedOn w:val="DefaultParagraphFont"/>
    <w:link w:val="BodyText"/>
    <w:uiPriority w:val="1"/>
    <w:rsid w:val="00436583"/>
    <w:rPr>
      <w:rFonts w:ascii="Times New Roman" w:eastAsia="Times New Roman" w:hAnsi="Times New Roman" w:cs="Times New Roman"/>
      <w:sz w:val="24"/>
      <w:szCs w:val="24"/>
      <w:lang w:bidi="en-US"/>
    </w:rPr>
  </w:style>
  <w:style w:type="paragraph" w:styleId="ListParagraph">
    <w:name w:val="List Paragraph"/>
    <w:basedOn w:val="Normal"/>
    <w:uiPriority w:val="1"/>
    <w:qFormat/>
    <w:rsid w:val="00436583"/>
    <w:pPr>
      <w:ind w:left="820" w:hanging="360"/>
    </w:pPr>
  </w:style>
  <w:style w:type="character" w:styleId="Hyperlink">
    <w:name w:val="Hyperlink"/>
    <w:basedOn w:val="DefaultParagraphFont"/>
    <w:uiPriority w:val="99"/>
    <w:unhideWhenUsed/>
    <w:rsid w:val="00436583"/>
    <w:rPr>
      <w:color w:val="0563C1" w:themeColor="hyperlink"/>
      <w:u w:val="single"/>
    </w:rPr>
  </w:style>
  <w:style w:type="character" w:styleId="UnresolvedMention">
    <w:name w:val="Unresolved Mention"/>
    <w:basedOn w:val="DefaultParagraphFont"/>
    <w:uiPriority w:val="99"/>
    <w:semiHidden/>
    <w:unhideWhenUsed/>
    <w:rsid w:val="00436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Lisa</dc:creator>
  <cp:keywords/>
  <dc:description/>
  <cp:lastModifiedBy>Tuttle(Gardner), Robin</cp:lastModifiedBy>
  <cp:revision>3</cp:revision>
  <cp:lastPrinted>2021-12-15T16:28:00Z</cp:lastPrinted>
  <dcterms:created xsi:type="dcterms:W3CDTF">2022-01-10T16:40:00Z</dcterms:created>
  <dcterms:modified xsi:type="dcterms:W3CDTF">2022-01-10T18:30:00Z</dcterms:modified>
</cp:coreProperties>
</file>